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49" w:rsidRDefault="0027204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I10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C1BB8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C1BB8">
        <w:rPr>
          <w:rFonts w:ascii="Arial" w:hAnsi="Arial" w:cs="Arial"/>
          <w:sz w:val="20"/>
          <w:szCs w:val="20"/>
        </w:rPr>
        <w:t>16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272049" w:rsidRPr="00272049">
        <w:rPr>
          <w:rFonts w:ascii="Arial" w:hAnsi="Arial" w:cs="Arial"/>
          <w:sz w:val="20"/>
          <w:szCs w:val="20"/>
        </w:rPr>
        <w:t>Idico</w:t>
      </w:r>
      <w:proofErr w:type="spellEnd"/>
      <w:r w:rsidR="00272049" w:rsidRPr="00272049">
        <w:rPr>
          <w:rFonts w:ascii="Arial" w:hAnsi="Arial" w:cs="Arial"/>
          <w:sz w:val="20"/>
          <w:szCs w:val="20"/>
        </w:rPr>
        <w:t xml:space="preserve"> No.10 Investment Construction Joint Stock Company</w:t>
      </w:r>
      <w:r w:rsidR="0027204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C1BB8">
        <w:rPr>
          <w:rFonts w:ascii="Arial" w:hAnsi="Arial" w:cs="Arial"/>
          <w:sz w:val="20"/>
          <w:szCs w:val="20"/>
        </w:rPr>
        <w:t>Board resolution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72049" w:rsidRDefault="0027204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operation results of Q.1/ 2020 and implementation of operation plan of Q.II/ 2020</w:t>
      </w:r>
    </w:p>
    <w:p w:rsidR="00272049" w:rsidRDefault="00272049" w:rsidP="002720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</w:t>
      </w:r>
      <w:r>
        <w:rPr>
          <w:rFonts w:ascii="Arial" w:hAnsi="Arial" w:cs="Arial"/>
          <w:sz w:val="20"/>
          <w:szCs w:val="20"/>
        </w:rPr>
        <w:t>Approve the operation results of Q.1/ 2020</w:t>
      </w:r>
    </w:p>
    <w:p w:rsidR="00272049" w:rsidRDefault="00272049" w:rsidP="002720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78"/>
        <w:gridCol w:w="1368"/>
        <w:gridCol w:w="1368"/>
        <w:gridCol w:w="1368"/>
        <w:gridCol w:w="1368"/>
        <w:gridCol w:w="1368"/>
      </w:tblGrid>
      <w:tr w:rsidR="00272049" w:rsidTr="004541B4">
        <w:tc>
          <w:tcPr>
            <w:tcW w:w="558" w:type="dxa"/>
            <w:vMerge w:val="restart"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78" w:type="dxa"/>
            <w:vMerge w:val="restart"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368" w:type="dxa"/>
            <w:vMerge w:val="restart"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368" w:type="dxa"/>
            <w:vMerge w:val="restart"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Q.1/ 2020</w:t>
            </w:r>
          </w:p>
        </w:tc>
        <w:tc>
          <w:tcPr>
            <w:tcW w:w="1368" w:type="dxa"/>
            <w:vMerge w:val="restart"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realization Q.1/ 2020</w:t>
            </w:r>
          </w:p>
        </w:tc>
        <w:tc>
          <w:tcPr>
            <w:tcW w:w="2736" w:type="dxa"/>
            <w:gridSpan w:val="2"/>
          </w:tcPr>
          <w:p w:rsidR="00272049" w:rsidRDefault="00272049" w:rsidP="002720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%</w:t>
            </w:r>
          </w:p>
        </w:tc>
      </w:tr>
      <w:tr w:rsidR="00272049" w:rsidTr="00272049">
        <w:tc>
          <w:tcPr>
            <w:tcW w:w="558" w:type="dxa"/>
            <w:vMerge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realization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Plan Q.1/ 2020</w:t>
            </w:r>
          </w:p>
        </w:tc>
        <w:tc>
          <w:tcPr>
            <w:tcW w:w="1368" w:type="dxa"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realization Q.1/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compared to Plan 2020</w:t>
            </w:r>
          </w:p>
        </w:tc>
      </w:tr>
      <w:tr w:rsidR="00272049" w:rsidTr="00272049">
        <w:tc>
          <w:tcPr>
            <w:tcW w:w="558" w:type="dxa"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78" w:type="dxa"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production</w:t>
            </w:r>
          </w:p>
        </w:tc>
        <w:tc>
          <w:tcPr>
            <w:tcW w:w="1368" w:type="dxa"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60,566</w:t>
            </w:r>
          </w:p>
        </w:tc>
        <w:tc>
          <w:tcPr>
            <w:tcW w:w="1368" w:type="dxa"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15,142</w:t>
            </w:r>
          </w:p>
        </w:tc>
        <w:tc>
          <w:tcPr>
            <w:tcW w:w="1368" w:type="dxa"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3,693</w:t>
            </w:r>
          </w:p>
        </w:tc>
        <w:tc>
          <w:tcPr>
            <w:tcW w:w="1368" w:type="dxa"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19%</w:t>
            </w:r>
          </w:p>
        </w:tc>
        <w:tc>
          <w:tcPr>
            <w:tcW w:w="1368" w:type="dxa"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</w:tr>
      <w:tr w:rsidR="00272049" w:rsidTr="00272049">
        <w:tc>
          <w:tcPr>
            <w:tcW w:w="558" w:type="dxa"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value</w:t>
            </w:r>
          </w:p>
        </w:tc>
        <w:tc>
          <w:tcPr>
            <w:tcW w:w="1368" w:type="dxa"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56,186</w:t>
            </w:r>
          </w:p>
        </w:tc>
        <w:tc>
          <w:tcPr>
            <w:tcW w:w="1368" w:type="dxa"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14,047</w:t>
            </w:r>
          </w:p>
        </w:tc>
        <w:tc>
          <w:tcPr>
            <w:tcW w:w="1368" w:type="dxa"/>
          </w:tcPr>
          <w:p w:rsidR="00272049" w:rsidRDefault="00272049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2,598</w:t>
            </w:r>
          </w:p>
        </w:tc>
        <w:tc>
          <w:tcPr>
            <w:tcW w:w="1368" w:type="dxa"/>
          </w:tcPr>
          <w:p w:rsidR="00272049" w:rsidRDefault="000210C7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1368" w:type="dxa"/>
          </w:tcPr>
          <w:p w:rsidR="00272049" w:rsidRDefault="000210C7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</w:tr>
      <w:tr w:rsidR="000210C7" w:rsidTr="00272049">
        <w:tc>
          <w:tcPr>
            <w:tcW w:w="55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Consultancy value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3,880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0210C7" w:rsidTr="00272049">
        <w:tc>
          <w:tcPr>
            <w:tcW w:w="55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business value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0210C7" w:rsidTr="00272049">
        <w:tc>
          <w:tcPr>
            <w:tcW w:w="55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7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financial indicators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C7" w:rsidTr="00272049">
        <w:tc>
          <w:tcPr>
            <w:tcW w:w="55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55,403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13,851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1,177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0210C7" w:rsidTr="00272049">
        <w:tc>
          <w:tcPr>
            <w:tcW w:w="55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1,385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(1,339)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210C7" w:rsidTr="00272049">
        <w:tc>
          <w:tcPr>
            <w:tcW w:w="55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Contributing to the State budget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6,740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1,685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1,913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125%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</w:tr>
      <w:tr w:rsidR="000210C7" w:rsidTr="00272049">
        <w:tc>
          <w:tcPr>
            <w:tcW w:w="55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17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investment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0210C7" w:rsidRDefault="000210C7" w:rsidP="000210C7">
            <w:r w:rsidRPr="00F45A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0210C7" w:rsidRDefault="000210C7" w:rsidP="000210C7">
            <w:r w:rsidRPr="00F45A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0210C7" w:rsidRDefault="000210C7" w:rsidP="000210C7">
            <w:r w:rsidRPr="00F45A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210C7" w:rsidTr="00272049">
        <w:tc>
          <w:tcPr>
            <w:tcW w:w="55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7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income (VND million/person/month)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72049" w:rsidRDefault="00272049" w:rsidP="002720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10C7" w:rsidRDefault="000210C7" w:rsidP="002720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 Some indicators in the operation plan of Q.2/ 2020</w:t>
      </w:r>
    </w:p>
    <w:p w:rsidR="000210C7" w:rsidRDefault="000210C7" w:rsidP="002720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3411"/>
        <w:gridCol w:w="1895"/>
        <w:gridCol w:w="1902"/>
        <w:gridCol w:w="1896"/>
      </w:tblGrid>
      <w:tr w:rsidR="000210C7" w:rsidTr="000210C7">
        <w:tc>
          <w:tcPr>
            <w:tcW w:w="472" w:type="dxa"/>
          </w:tcPr>
          <w:p w:rsidR="000210C7" w:rsidRDefault="000210C7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11" w:type="dxa"/>
          </w:tcPr>
          <w:p w:rsidR="000210C7" w:rsidRDefault="000210C7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895" w:type="dxa"/>
          </w:tcPr>
          <w:p w:rsidR="000210C7" w:rsidRDefault="000210C7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902" w:type="dxa"/>
          </w:tcPr>
          <w:p w:rsidR="000210C7" w:rsidRDefault="000210C7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realization Q.1/ 2020</w:t>
            </w:r>
          </w:p>
        </w:tc>
        <w:tc>
          <w:tcPr>
            <w:tcW w:w="1896" w:type="dxa"/>
          </w:tcPr>
          <w:p w:rsidR="000210C7" w:rsidRDefault="000210C7" w:rsidP="002720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Q.2/ 2020</w:t>
            </w:r>
          </w:p>
        </w:tc>
      </w:tr>
      <w:tr w:rsidR="000210C7" w:rsidTr="000210C7">
        <w:tc>
          <w:tcPr>
            <w:tcW w:w="47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</w:p>
        </w:tc>
        <w:tc>
          <w:tcPr>
            <w:tcW w:w="3411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production</w:t>
            </w:r>
          </w:p>
        </w:tc>
        <w:tc>
          <w:tcPr>
            <w:tcW w:w="1895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60,566</w:t>
            </w:r>
          </w:p>
        </w:tc>
        <w:tc>
          <w:tcPr>
            <w:tcW w:w="190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3,693</w:t>
            </w:r>
          </w:p>
        </w:tc>
        <w:tc>
          <w:tcPr>
            <w:tcW w:w="1896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15,142</w:t>
            </w:r>
          </w:p>
        </w:tc>
      </w:tr>
      <w:tr w:rsidR="000210C7" w:rsidTr="000210C7">
        <w:tc>
          <w:tcPr>
            <w:tcW w:w="47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value</w:t>
            </w:r>
          </w:p>
        </w:tc>
        <w:tc>
          <w:tcPr>
            <w:tcW w:w="1895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56,186</w:t>
            </w:r>
          </w:p>
        </w:tc>
        <w:tc>
          <w:tcPr>
            <w:tcW w:w="190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2,598</w:t>
            </w:r>
          </w:p>
        </w:tc>
        <w:tc>
          <w:tcPr>
            <w:tcW w:w="1896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14,047</w:t>
            </w:r>
          </w:p>
        </w:tc>
      </w:tr>
      <w:tr w:rsidR="000210C7" w:rsidTr="000210C7">
        <w:tc>
          <w:tcPr>
            <w:tcW w:w="47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1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material value (current value)</w:t>
            </w:r>
          </w:p>
        </w:tc>
        <w:tc>
          <w:tcPr>
            <w:tcW w:w="1895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6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210C7" w:rsidTr="000210C7">
        <w:tc>
          <w:tcPr>
            <w:tcW w:w="47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11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Consultancy value</w:t>
            </w:r>
          </w:p>
        </w:tc>
        <w:tc>
          <w:tcPr>
            <w:tcW w:w="1895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3,880</w:t>
            </w:r>
          </w:p>
        </w:tc>
        <w:tc>
          <w:tcPr>
            <w:tcW w:w="190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</w:t>
            </w:r>
          </w:p>
        </w:tc>
        <w:tc>
          <w:tcPr>
            <w:tcW w:w="1896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</w:t>
            </w:r>
          </w:p>
        </w:tc>
      </w:tr>
      <w:tr w:rsidR="000210C7" w:rsidTr="000210C7">
        <w:tc>
          <w:tcPr>
            <w:tcW w:w="47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11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business value</w:t>
            </w:r>
          </w:p>
        </w:tc>
        <w:tc>
          <w:tcPr>
            <w:tcW w:w="1895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0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896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0210C7" w:rsidTr="000210C7">
        <w:tc>
          <w:tcPr>
            <w:tcW w:w="47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411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financial indicators</w:t>
            </w:r>
          </w:p>
        </w:tc>
        <w:tc>
          <w:tcPr>
            <w:tcW w:w="1895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C7" w:rsidTr="000210C7">
        <w:tc>
          <w:tcPr>
            <w:tcW w:w="47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895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55,403</w:t>
            </w:r>
          </w:p>
        </w:tc>
        <w:tc>
          <w:tcPr>
            <w:tcW w:w="190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1,177</w:t>
            </w:r>
          </w:p>
        </w:tc>
        <w:tc>
          <w:tcPr>
            <w:tcW w:w="1896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</w:t>
            </w:r>
            <w:r w:rsidR="009B49AC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</w:tr>
      <w:tr w:rsidR="000210C7" w:rsidTr="000210C7">
        <w:tc>
          <w:tcPr>
            <w:tcW w:w="47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1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895" w:type="dxa"/>
          </w:tcPr>
          <w:p w:rsidR="000210C7" w:rsidRDefault="009B49AC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1,385</w:t>
            </w:r>
          </w:p>
        </w:tc>
        <w:tc>
          <w:tcPr>
            <w:tcW w:w="190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(1,339)</w:t>
            </w:r>
          </w:p>
        </w:tc>
        <w:tc>
          <w:tcPr>
            <w:tcW w:w="1896" w:type="dxa"/>
          </w:tcPr>
          <w:p w:rsidR="000210C7" w:rsidRDefault="009B49AC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</w:tr>
      <w:tr w:rsidR="000210C7" w:rsidTr="000210C7">
        <w:tc>
          <w:tcPr>
            <w:tcW w:w="47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11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Contributing to the State budget</w:t>
            </w:r>
          </w:p>
        </w:tc>
        <w:tc>
          <w:tcPr>
            <w:tcW w:w="1895" w:type="dxa"/>
          </w:tcPr>
          <w:p w:rsidR="000210C7" w:rsidRDefault="009B49AC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6,740</w:t>
            </w:r>
          </w:p>
        </w:tc>
        <w:tc>
          <w:tcPr>
            <w:tcW w:w="190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1,913</w:t>
            </w:r>
          </w:p>
        </w:tc>
        <w:tc>
          <w:tcPr>
            <w:tcW w:w="1896" w:type="dxa"/>
          </w:tcPr>
          <w:p w:rsidR="000210C7" w:rsidRDefault="009B49AC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1,685</w:t>
            </w:r>
          </w:p>
        </w:tc>
      </w:tr>
      <w:tr w:rsidR="000210C7" w:rsidTr="000210C7">
        <w:tc>
          <w:tcPr>
            <w:tcW w:w="47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3411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investment</w:t>
            </w:r>
          </w:p>
        </w:tc>
        <w:tc>
          <w:tcPr>
            <w:tcW w:w="1895" w:type="dxa"/>
          </w:tcPr>
          <w:p w:rsidR="000210C7" w:rsidRDefault="009B49AC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902" w:type="dxa"/>
          </w:tcPr>
          <w:p w:rsidR="000210C7" w:rsidRDefault="000210C7" w:rsidP="000210C7">
            <w:r w:rsidRPr="00F45A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6" w:type="dxa"/>
          </w:tcPr>
          <w:p w:rsidR="000210C7" w:rsidRDefault="009B49AC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210C7" w:rsidTr="000210C7">
        <w:tc>
          <w:tcPr>
            <w:tcW w:w="47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3411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income (VND million/person/month)</w:t>
            </w:r>
          </w:p>
        </w:tc>
        <w:tc>
          <w:tcPr>
            <w:tcW w:w="1895" w:type="dxa"/>
          </w:tcPr>
          <w:p w:rsidR="000210C7" w:rsidRDefault="009B49AC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1902" w:type="dxa"/>
          </w:tcPr>
          <w:p w:rsidR="000210C7" w:rsidRDefault="000210C7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1896" w:type="dxa"/>
          </w:tcPr>
          <w:p w:rsidR="000210C7" w:rsidRDefault="009B49AC" w:rsidP="00021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</w:tbl>
    <w:p w:rsidR="000210C7" w:rsidRDefault="000210C7" w:rsidP="002720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49AC" w:rsidRDefault="009B49AC" w:rsidP="009B49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49AC">
        <w:rPr>
          <w:rFonts w:ascii="Arial" w:hAnsi="Arial" w:cs="Arial"/>
          <w:sz w:val="20"/>
          <w:szCs w:val="20"/>
        </w:rPr>
        <w:t xml:space="preserve">* Implementation measures: </w:t>
      </w:r>
    </w:p>
    <w:p w:rsidR="009B49AC" w:rsidRDefault="009B49AC" w:rsidP="009B49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49AC">
        <w:rPr>
          <w:rFonts w:ascii="Arial" w:hAnsi="Arial" w:cs="Arial"/>
          <w:sz w:val="20"/>
          <w:szCs w:val="20"/>
        </w:rPr>
        <w:t xml:space="preserve">a) Construction and installation: </w:t>
      </w:r>
    </w:p>
    <w:p w:rsidR="00AC0C36" w:rsidRDefault="009B49AC" w:rsidP="009B49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49AC">
        <w:rPr>
          <w:rFonts w:ascii="Arial" w:hAnsi="Arial" w:cs="Arial"/>
          <w:sz w:val="20"/>
          <w:szCs w:val="20"/>
        </w:rPr>
        <w:t xml:space="preserve">- Cooperate with Sao Mai Group to start the construction of </w:t>
      </w:r>
      <w:r w:rsidR="00AC0C36" w:rsidRPr="009B49AC">
        <w:rPr>
          <w:rFonts w:ascii="Arial" w:hAnsi="Arial" w:cs="Arial"/>
          <w:sz w:val="20"/>
          <w:szCs w:val="20"/>
        </w:rPr>
        <w:t>Project</w:t>
      </w:r>
      <w:r w:rsidR="00AC0C36" w:rsidRPr="009B49AC">
        <w:rPr>
          <w:rFonts w:ascii="Arial" w:hAnsi="Arial" w:cs="Arial"/>
          <w:sz w:val="20"/>
          <w:szCs w:val="20"/>
        </w:rPr>
        <w:t xml:space="preserve"> </w:t>
      </w:r>
      <w:r w:rsidR="00AC0C36">
        <w:rPr>
          <w:rFonts w:ascii="Arial" w:hAnsi="Arial" w:cs="Arial"/>
          <w:sz w:val="20"/>
          <w:szCs w:val="20"/>
        </w:rPr>
        <w:t>for h</w:t>
      </w:r>
      <w:r w:rsidRPr="009B49AC">
        <w:rPr>
          <w:rFonts w:ascii="Arial" w:hAnsi="Arial" w:cs="Arial"/>
          <w:sz w:val="20"/>
          <w:szCs w:val="20"/>
        </w:rPr>
        <w:t xml:space="preserve">otel </w:t>
      </w:r>
      <w:r w:rsidR="00AC0C36">
        <w:rPr>
          <w:rFonts w:ascii="Arial" w:hAnsi="Arial" w:cs="Arial"/>
          <w:sz w:val="20"/>
          <w:szCs w:val="20"/>
        </w:rPr>
        <w:t>r</w:t>
      </w:r>
      <w:r w:rsidR="00AC0C36" w:rsidRPr="009B49AC">
        <w:rPr>
          <w:rFonts w:ascii="Arial" w:hAnsi="Arial" w:cs="Arial"/>
          <w:sz w:val="20"/>
          <w:szCs w:val="20"/>
        </w:rPr>
        <w:t xml:space="preserve">enovation </w:t>
      </w:r>
      <w:r w:rsidRPr="009B49AC">
        <w:rPr>
          <w:rFonts w:ascii="Arial" w:hAnsi="Arial" w:cs="Arial"/>
          <w:sz w:val="20"/>
          <w:szCs w:val="20"/>
        </w:rPr>
        <w:t xml:space="preserve">of Sao Mai Resort in </w:t>
      </w:r>
      <w:proofErr w:type="spellStart"/>
      <w:r w:rsidR="00AC0C36">
        <w:rPr>
          <w:rFonts w:ascii="Arial" w:hAnsi="Arial" w:cs="Arial"/>
          <w:sz w:val="20"/>
          <w:szCs w:val="20"/>
        </w:rPr>
        <w:t>Phu</w:t>
      </w:r>
      <w:proofErr w:type="spellEnd"/>
      <w:r w:rsidR="00AC0C36">
        <w:rPr>
          <w:rFonts w:ascii="Arial" w:hAnsi="Arial" w:cs="Arial"/>
          <w:sz w:val="20"/>
          <w:szCs w:val="20"/>
        </w:rPr>
        <w:t xml:space="preserve"> My - Ba Ria </w:t>
      </w:r>
      <w:proofErr w:type="spellStart"/>
      <w:r w:rsidR="00AC0C36">
        <w:rPr>
          <w:rFonts w:ascii="Arial" w:hAnsi="Arial" w:cs="Arial"/>
          <w:sz w:val="20"/>
          <w:szCs w:val="20"/>
        </w:rPr>
        <w:t>Vung</w:t>
      </w:r>
      <w:proofErr w:type="spellEnd"/>
      <w:r w:rsidR="00AC0C36">
        <w:rPr>
          <w:rFonts w:ascii="Arial" w:hAnsi="Arial" w:cs="Arial"/>
          <w:sz w:val="20"/>
          <w:szCs w:val="20"/>
        </w:rPr>
        <w:t xml:space="preserve"> Tau valued at</w:t>
      </w:r>
      <w:r w:rsidRPr="009B49AC">
        <w:rPr>
          <w:rFonts w:ascii="Arial" w:hAnsi="Arial" w:cs="Arial"/>
          <w:sz w:val="20"/>
          <w:szCs w:val="20"/>
        </w:rPr>
        <w:t xml:space="preserve"> over </w:t>
      </w:r>
      <w:r w:rsidR="00AC0C36" w:rsidRPr="009B49AC">
        <w:rPr>
          <w:rFonts w:ascii="Arial" w:hAnsi="Arial" w:cs="Arial"/>
          <w:sz w:val="20"/>
          <w:szCs w:val="20"/>
        </w:rPr>
        <w:t>VND</w:t>
      </w:r>
      <w:r w:rsidR="00AC0C36" w:rsidRPr="009B49AC">
        <w:rPr>
          <w:rFonts w:ascii="Arial" w:hAnsi="Arial" w:cs="Arial"/>
          <w:sz w:val="20"/>
          <w:szCs w:val="20"/>
        </w:rPr>
        <w:t xml:space="preserve"> </w:t>
      </w:r>
      <w:r w:rsidR="00AC0C36">
        <w:rPr>
          <w:rFonts w:ascii="Arial" w:hAnsi="Arial" w:cs="Arial"/>
          <w:sz w:val="20"/>
          <w:szCs w:val="20"/>
        </w:rPr>
        <w:t>15</w:t>
      </w:r>
      <w:r w:rsidRPr="009B49AC">
        <w:rPr>
          <w:rFonts w:ascii="Arial" w:hAnsi="Arial" w:cs="Arial"/>
          <w:sz w:val="20"/>
          <w:szCs w:val="20"/>
        </w:rPr>
        <w:t xml:space="preserve"> billion to create jobs for workers and supplement the volume for the 2020 plan (in the second quarter of 2020) </w:t>
      </w:r>
    </w:p>
    <w:p w:rsidR="00AC0C36" w:rsidRDefault="009B49AC" w:rsidP="009B49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49AC">
        <w:rPr>
          <w:rFonts w:ascii="Arial" w:hAnsi="Arial" w:cs="Arial"/>
          <w:sz w:val="20"/>
          <w:szCs w:val="20"/>
        </w:rPr>
        <w:t xml:space="preserve">- Working with the project investors that the Company </w:t>
      </w:r>
      <w:r w:rsidR="00AC0C36">
        <w:rPr>
          <w:rFonts w:ascii="Arial" w:hAnsi="Arial" w:cs="Arial"/>
          <w:sz w:val="20"/>
          <w:szCs w:val="20"/>
        </w:rPr>
        <w:t>offered price and bidding in the first quarter to s</w:t>
      </w:r>
      <w:r w:rsidRPr="009B49AC">
        <w:rPr>
          <w:rFonts w:ascii="Arial" w:hAnsi="Arial" w:cs="Arial"/>
          <w:sz w:val="20"/>
          <w:szCs w:val="20"/>
        </w:rPr>
        <w:t xml:space="preserve">ee the possibility of </w:t>
      </w:r>
      <w:r w:rsidR="00AC0C36">
        <w:rPr>
          <w:rFonts w:ascii="Arial" w:hAnsi="Arial" w:cs="Arial"/>
          <w:sz w:val="20"/>
          <w:szCs w:val="20"/>
        </w:rPr>
        <w:t>winning bid</w:t>
      </w:r>
    </w:p>
    <w:p w:rsidR="00AC0C36" w:rsidRDefault="009B49AC" w:rsidP="009B49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49AC">
        <w:rPr>
          <w:rFonts w:ascii="Arial" w:hAnsi="Arial" w:cs="Arial"/>
          <w:sz w:val="20"/>
          <w:szCs w:val="20"/>
        </w:rPr>
        <w:t xml:space="preserve">b) Job search: </w:t>
      </w:r>
    </w:p>
    <w:p w:rsidR="00BA212B" w:rsidRDefault="009B49AC" w:rsidP="009B49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49AC">
        <w:rPr>
          <w:rFonts w:ascii="Arial" w:hAnsi="Arial" w:cs="Arial"/>
          <w:sz w:val="20"/>
          <w:szCs w:val="20"/>
        </w:rPr>
        <w:t>- Continuing efforts to select jobs in order to improve the construction and installation output to meet a part of the missing volume in the first quarter of 2020</w:t>
      </w:r>
    </w:p>
    <w:p w:rsidR="00BA212B" w:rsidRDefault="00BA212B" w:rsidP="009B49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B49AC" w:rsidRPr="009B49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Offering</w:t>
      </w:r>
      <w:r w:rsidR="009B49AC" w:rsidRPr="009B49AC">
        <w:rPr>
          <w:rFonts w:ascii="Arial" w:hAnsi="Arial" w:cs="Arial"/>
          <w:sz w:val="20"/>
          <w:szCs w:val="20"/>
        </w:rPr>
        <w:t xml:space="preserve"> some packages for infrastructure invested by IDICO Corporation in Long </w:t>
      </w:r>
      <w:proofErr w:type="gramStart"/>
      <w:r w:rsidR="009B49AC" w:rsidRPr="009B49AC">
        <w:rPr>
          <w:rFonts w:ascii="Arial" w:hAnsi="Arial" w:cs="Arial"/>
          <w:sz w:val="20"/>
          <w:szCs w:val="20"/>
        </w:rPr>
        <w:t>An</w:t>
      </w:r>
      <w:proofErr w:type="gramEnd"/>
      <w:r w:rsidR="009B49AC" w:rsidRPr="009B49AC">
        <w:rPr>
          <w:rFonts w:ascii="Arial" w:hAnsi="Arial" w:cs="Arial"/>
          <w:sz w:val="20"/>
          <w:szCs w:val="20"/>
        </w:rPr>
        <w:t xml:space="preserve"> or Dong </w:t>
      </w:r>
      <w:proofErr w:type="spellStart"/>
      <w:r w:rsidR="009B49AC" w:rsidRPr="009B49AC">
        <w:rPr>
          <w:rFonts w:ascii="Arial" w:hAnsi="Arial" w:cs="Arial"/>
          <w:sz w:val="20"/>
          <w:szCs w:val="20"/>
        </w:rPr>
        <w:t>Nai</w:t>
      </w:r>
      <w:proofErr w:type="spellEnd"/>
      <w:r>
        <w:rPr>
          <w:rFonts w:ascii="Arial" w:hAnsi="Arial" w:cs="Arial"/>
          <w:sz w:val="20"/>
          <w:szCs w:val="20"/>
        </w:rPr>
        <w:t>…</w:t>
      </w:r>
      <w:r w:rsidR="009B49AC" w:rsidRPr="009B49AC">
        <w:rPr>
          <w:rFonts w:ascii="Arial" w:hAnsi="Arial" w:cs="Arial"/>
          <w:sz w:val="20"/>
          <w:szCs w:val="20"/>
        </w:rPr>
        <w:t xml:space="preserve">to supplement output and employment </w:t>
      </w:r>
    </w:p>
    <w:p w:rsidR="00BA212B" w:rsidRDefault="009B49AC" w:rsidP="009B49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49AC">
        <w:rPr>
          <w:rFonts w:ascii="Arial" w:hAnsi="Arial" w:cs="Arial"/>
          <w:sz w:val="20"/>
          <w:szCs w:val="20"/>
        </w:rPr>
        <w:t xml:space="preserve">c) Consultancy: </w:t>
      </w:r>
    </w:p>
    <w:p w:rsidR="00BA212B" w:rsidRDefault="009B49AC" w:rsidP="009B49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49AC">
        <w:rPr>
          <w:rFonts w:ascii="Arial" w:hAnsi="Arial" w:cs="Arial"/>
          <w:sz w:val="20"/>
          <w:szCs w:val="20"/>
        </w:rPr>
        <w:t xml:space="preserve">Continue </w:t>
      </w:r>
      <w:r w:rsidR="00BA212B">
        <w:rPr>
          <w:rFonts w:ascii="Arial" w:hAnsi="Arial" w:cs="Arial"/>
          <w:sz w:val="20"/>
          <w:szCs w:val="20"/>
        </w:rPr>
        <w:t xml:space="preserve">the </w:t>
      </w:r>
      <w:r w:rsidRPr="009B49AC">
        <w:rPr>
          <w:rFonts w:ascii="Arial" w:hAnsi="Arial" w:cs="Arial"/>
          <w:sz w:val="20"/>
          <w:szCs w:val="20"/>
        </w:rPr>
        <w:t xml:space="preserve">job search in Can </w:t>
      </w:r>
      <w:proofErr w:type="spellStart"/>
      <w:r w:rsidRPr="009B49AC">
        <w:rPr>
          <w:rFonts w:ascii="Arial" w:hAnsi="Arial" w:cs="Arial"/>
          <w:sz w:val="20"/>
          <w:szCs w:val="20"/>
        </w:rPr>
        <w:t>Tho</w:t>
      </w:r>
      <w:proofErr w:type="spellEnd"/>
      <w:r w:rsidR="00BA212B">
        <w:rPr>
          <w:rFonts w:ascii="Arial" w:hAnsi="Arial" w:cs="Arial"/>
          <w:sz w:val="20"/>
          <w:szCs w:val="20"/>
        </w:rPr>
        <w:t xml:space="preserve"> City</w:t>
      </w:r>
      <w:r w:rsidRPr="009B49AC">
        <w:rPr>
          <w:rFonts w:ascii="Arial" w:hAnsi="Arial" w:cs="Arial"/>
          <w:sz w:val="20"/>
          <w:szCs w:val="20"/>
        </w:rPr>
        <w:t xml:space="preserve"> and neighboring provinces in order to promote existing resources, seek jobs to meet the 2020 plan (reaching at</w:t>
      </w:r>
      <w:r w:rsidR="00BA212B">
        <w:rPr>
          <w:rFonts w:ascii="Arial" w:hAnsi="Arial" w:cs="Arial"/>
          <w:sz w:val="20"/>
          <w:szCs w:val="20"/>
        </w:rPr>
        <w:t xml:space="preserve"> least an output of over VND 3.5 billion)</w:t>
      </w:r>
    </w:p>
    <w:p w:rsidR="00272049" w:rsidRDefault="009B49AC" w:rsidP="009B49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49AC">
        <w:rPr>
          <w:rFonts w:ascii="Arial" w:hAnsi="Arial" w:cs="Arial"/>
          <w:sz w:val="20"/>
          <w:szCs w:val="20"/>
        </w:rPr>
        <w:t>d) Financial work:</w:t>
      </w:r>
    </w:p>
    <w:p w:rsidR="00BA212B" w:rsidRDefault="00BA212B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BA212B">
        <w:rPr>
          <w:rFonts w:ascii="Arial" w:hAnsi="Arial" w:cs="Arial"/>
          <w:sz w:val="20"/>
          <w:szCs w:val="20"/>
        </w:rPr>
        <w:t xml:space="preserve">Concentrating on recovering capital, settling </w:t>
      </w:r>
      <w:r>
        <w:rPr>
          <w:rFonts w:ascii="Arial" w:hAnsi="Arial" w:cs="Arial"/>
          <w:sz w:val="20"/>
          <w:szCs w:val="20"/>
        </w:rPr>
        <w:t>the</w:t>
      </w:r>
      <w:r w:rsidRPr="00BA212B">
        <w:rPr>
          <w:rFonts w:ascii="Arial" w:hAnsi="Arial" w:cs="Arial"/>
          <w:sz w:val="20"/>
          <w:szCs w:val="20"/>
        </w:rPr>
        <w:t xml:space="preserve"> construction and installation volumes, so as </w:t>
      </w:r>
      <w:r>
        <w:rPr>
          <w:rFonts w:ascii="Arial" w:hAnsi="Arial" w:cs="Arial"/>
          <w:sz w:val="20"/>
          <w:szCs w:val="20"/>
        </w:rPr>
        <w:t>not to leave outstanding debts</w:t>
      </w:r>
    </w:p>
    <w:p w:rsidR="00BA212B" w:rsidRDefault="00BA212B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212B">
        <w:rPr>
          <w:rFonts w:ascii="Arial" w:hAnsi="Arial" w:cs="Arial"/>
          <w:sz w:val="20"/>
          <w:szCs w:val="20"/>
        </w:rPr>
        <w:t xml:space="preserve">- Working with </w:t>
      </w:r>
      <w:r w:rsidRPr="00BA212B">
        <w:rPr>
          <w:rFonts w:ascii="Arial" w:hAnsi="Arial" w:cs="Arial"/>
          <w:sz w:val="20"/>
          <w:szCs w:val="20"/>
        </w:rPr>
        <w:t xml:space="preserve">Can </w:t>
      </w:r>
      <w:proofErr w:type="spellStart"/>
      <w:r w:rsidRPr="00BA212B">
        <w:rPr>
          <w:rFonts w:ascii="Arial" w:hAnsi="Arial" w:cs="Arial"/>
          <w:sz w:val="20"/>
          <w:szCs w:val="20"/>
        </w:rPr>
        <w:t>Tho</w:t>
      </w:r>
      <w:proofErr w:type="spellEnd"/>
      <w:r w:rsidRPr="00BA21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Tax Department </w:t>
      </w:r>
      <w:r w:rsidRPr="00BA212B">
        <w:rPr>
          <w:rFonts w:ascii="Arial" w:hAnsi="Arial" w:cs="Arial"/>
          <w:sz w:val="20"/>
          <w:szCs w:val="20"/>
        </w:rPr>
        <w:t>and the General Department of Taxation</w:t>
      </w:r>
      <w:r>
        <w:rPr>
          <w:rFonts w:ascii="Arial" w:hAnsi="Arial" w:cs="Arial"/>
          <w:sz w:val="20"/>
          <w:szCs w:val="20"/>
        </w:rPr>
        <w:t xml:space="preserve"> to</w:t>
      </w:r>
      <w:r w:rsidRPr="00BA212B">
        <w:rPr>
          <w:rFonts w:ascii="Arial" w:hAnsi="Arial" w:cs="Arial"/>
          <w:sz w:val="20"/>
          <w:szCs w:val="20"/>
        </w:rPr>
        <w:t xml:space="preserve"> apply for tax exemptions or extensions or apply for multiple installments of interest on taxes tr</w:t>
      </w:r>
      <w:r>
        <w:rPr>
          <w:rFonts w:ascii="Arial" w:hAnsi="Arial" w:cs="Arial"/>
          <w:sz w:val="20"/>
          <w:szCs w:val="20"/>
        </w:rPr>
        <w:t>ansferred from previous years</w:t>
      </w:r>
    </w:p>
    <w:p w:rsidR="00BA212B" w:rsidRDefault="00BA212B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212B">
        <w:rPr>
          <w:rFonts w:ascii="Arial" w:hAnsi="Arial" w:cs="Arial"/>
          <w:sz w:val="20"/>
          <w:szCs w:val="20"/>
        </w:rPr>
        <w:t xml:space="preserve">- Working with </w:t>
      </w:r>
      <w:r w:rsidRPr="00BA212B">
        <w:rPr>
          <w:rFonts w:ascii="Arial" w:hAnsi="Arial" w:cs="Arial"/>
          <w:sz w:val="20"/>
          <w:szCs w:val="20"/>
        </w:rPr>
        <w:t xml:space="preserve">Can </w:t>
      </w:r>
      <w:proofErr w:type="spellStart"/>
      <w:r w:rsidRPr="00BA212B">
        <w:rPr>
          <w:rFonts w:ascii="Arial" w:hAnsi="Arial" w:cs="Arial"/>
          <w:sz w:val="20"/>
          <w:szCs w:val="20"/>
        </w:rPr>
        <w:t>Tho</w:t>
      </w:r>
      <w:proofErr w:type="spellEnd"/>
      <w:r w:rsidRPr="00BA21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Social Insurance</w:t>
      </w:r>
      <w:r w:rsidRPr="00BA212B">
        <w:rPr>
          <w:rFonts w:ascii="Arial" w:hAnsi="Arial" w:cs="Arial"/>
          <w:sz w:val="20"/>
          <w:szCs w:val="20"/>
        </w:rPr>
        <w:t xml:space="preserve"> to request for exemption or extension or </w:t>
      </w:r>
      <w:r>
        <w:rPr>
          <w:rFonts w:ascii="Arial" w:hAnsi="Arial" w:cs="Arial"/>
          <w:sz w:val="20"/>
          <w:szCs w:val="20"/>
        </w:rPr>
        <w:t>apply for installment</w:t>
      </w:r>
      <w:r w:rsidRPr="00BA21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interest payments for</w:t>
      </w:r>
      <w:r w:rsidRPr="00BA212B">
        <w:rPr>
          <w:rFonts w:ascii="Arial" w:hAnsi="Arial" w:cs="Arial"/>
          <w:sz w:val="20"/>
          <w:szCs w:val="20"/>
        </w:rPr>
        <w:t xml:space="preserve"> insurance debts of </w:t>
      </w:r>
      <w:r w:rsidRPr="00BA212B">
        <w:rPr>
          <w:rFonts w:ascii="Arial" w:hAnsi="Arial" w:cs="Arial"/>
          <w:sz w:val="20"/>
          <w:szCs w:val="20"/>
        </w:rPr>
        <w:t>the</w:t>
      </w:r>
      <w:r w:rsidRPr="00BA21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previous years</w:t>
      </w:r>
    </w:p>
    <w:p w:rsidR="00BA212B" w:rsidRDefault="00BA212B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212B">
        <w:rPr>
          <w:rFonts w:ascii="Arial" w:hAnsi="Arial" w:cs="Arial"/>
          <w:sz w:val="20"/>
          <w:szCs w:val="20"/>
        </w:rPr>
        <w:t xml:space="preserve"> - Continuing to seek partners to transfer or invest in </w:t>
      </w:r>
      <w:r>
        <w:rPr>
          <w:rFonts w:ascii="Arial" w:hAnsi="Arial" w:cs="Arial"/>
          <w:sz w:val="20"/>
          <w:szCs w:val="20"/>
        </w:rPr>
        <w:t>land plot of 685.</w:t>
      </w:r>
      <w:r w:rsidRPr="00BA212B">
        <w:rPr>
          <w:rFonts w:ascii="Arial" w:hAnsi="Arial" w:cs="Arial"/>
          <w:sz w:val="20"/>
          <w:szCs w:val="20"/>
        </w:rPr>
        <w:t>6m</w:t>
      </w:r>
      <w:r>
        <w:rPr>
          <w:rFonts w:ascii="Arial" w:hAnsi="Arial" w:cs="Arial"/>
          <w:sz w:val="20"/>
          <w:szCs w:val="20"/>
        </w:rPr>
        <w:t>2 at</w:t>
      </w:r>
      <w:r w:rsidRPr="00BA212B">
        <w:rPr>
          <w:rFonts w:ascii="Arial" w:hAnsi="Arial" w:cs="Arial"/>
          <w:sz w:val="20"/>
          <w:szCs w:val="20"/>
        </w:rPr>
        <w:t xml:space="preserve"> Tran Hung Dao street, </w:t>
      </w:r>
      <w:r>
        <w:rPr>
          <w:rFonts w:ascii="Arial" w:hAnsi="Arial" w:cs="Arial"/>
          <w:sz w:val="20"/>
          <w:szCs w:val="20"/>
        </w:rPr>
        <w:t xml:space="preserve">My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ward, </w:t>
      </w:r>
      <w:r w:rsidRPr="00BA212B">
        <w:rPr>
          <w:rFonts w:ascii="Arial" w:hAnsi="Arial" w:cs="Arial"/>
          <w:sz w:val="20"/>
          <w:szCs w:val="20"/>
        </w:rPr>
        <w:t xml:space="preserve">Long </w:t>
      </w:r>
      <w:proofErr w:type="spellStart"/>
      <w:r w:rsidRPr="00BA212B">
        <w:rPr>
          <w:rFonts w:ascii="Arial" w:hAnsi="Arial" w:cs="Arial"/>
          <w:sz w:val="20"/>
          <w:szCs w:val="20"/>
        </w:rPr>
        <w:t>Xuyen</w:t>
      </w:r>
      <w:proofErr w:type="spellEnd"/>
      <w:r w:rsidRPr="00BA21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City</w:t>
      </w:r>
      <w:r w:rsidRPr="00BA212B">
        <w:rPr>
          <w:rFonts w:ascii="Arial" w:hAnsi="Arial" w:cs="Arial"/>
          <w:sz w:val="20"/>
          <w:szCs w:val="20"/>
        </w:rPr>
        <w:t xml:space="preserve">, An </w:t>
      </w:r>
      <w:proofErr w:type="spellStart"/>
      <w:r w:rsidRPr="00BA212B">
        <w:rPr>
          <w:rFonts w:ascii="Arial" w:hAnsi="Arial" w:cs="Arial"/>
          <w:sz w:val="20"/>
          <w:szCs w:val="20"/>
        </w:rPr>
        <w:t>Giang</w:t>
      </w:r>
      <w:proofErr w:type="spellEnd"/>
      <w:r w:rsidRPr="00BA212B">
        <w:rPr>
          <w:rFonts w:ascii="Arial" w:hAnsi="Arial" w:cs="Arial"/>
          <w:sz w:val="20"/>
          <w:szCs w:val="20"/>
        </w:rPr>
        <w:t xml:space="preserve"> province (expected to be </w:t>
      </w:r>
      <w:r>
        <w:rPr>
          <w:rFonts w:ascii="Arial" w:hAnsi="Arial" w:cs="Arial"/>
          <w:sz w:val="20"/>
          <w:szCs w:val="20"/>
        </w:rPr>
        <w:t>exercised in 2020)</w:t>
      </w:r>
    </w:p>
    <w:p w:rsidR="00BA212B" w:rsidRDefault="00BA212B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212B">
        <w:rPr>
          <w:rFonts w:ascii="Arial" w:hAnsi="Arial" w:cs="Arial"/>
          <w:sz w:val="20"/>
          <w:szCs w:val="20"/>
        </w:rPr>
        <w:t>- Transferring and liquidating assets that are no longer in use or inefficient to generate additional cash flows and pay i</w:t>
      </w:r>
      <w:r>
        <w:rPr>
          <w:rFonts w:ascii="Arial" w:hAnsi="Arial" w:cs="Arial"/>
          <w:sz w:val="20"/>
          <w:szCs w:val="20"/>
        </w:rPr>
        <w:t>nternal debt of the Corporation</w:t>
      </w:r>
    </w:p>
    <w:p w:rsidR="00BA212B" w:rsidRDefault="00BA212B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212B">
        <w:rPr>
          <w:rFonts w:ascii="Arial" w:hAnsi="Arial" w:cs="Arial"/>
          <w:sz w:val="20"/>
          <w:szCs w:val="20"/>
        </w:rPr>
        <w:t>- Strengthening the inspection, control, cost management and investment cost management</w:t>
      </w:r>
    </w:p>
    <w:p w:rsidR="008D52C6" w:rsidRDefault="00BA212B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212B">
        <w:rPr>
          <w:rFonts w:ascii="Arial" w:hAnsi="Arial" w:cs="Arial"/>
          <w:sz w:val="20"/>
          <w:szCs w:val="20"/>
        </w:rPr>
        <w:t xml:space="preserve">-  Insufficient Asset Settlement Council </w:t>
      </w:r>
      <w:r w:rsidR="008D52C6">
        <w:rPr>
          <w:rFonts w:ascii="Arial" w:hAnsi="Arial" w:cs="Arial"/>
          <w:sz w:val="20"/>
          <w:szCs w:val="20"/>
        </w:rPr>
        <w:t>of IDICO</w:t>
      </w:r>
      <w:r w:rsidRPr="00BA212B">
        <w:rPr>
          <w:rFonts w:ascii="Arial" w:hAnsi="Arial" w:cs="Arial"/>
          <w:sz w:val="20"/>
          <w:szCs w:val="20"/>
        </w:rPr>
        <w:t xml:space="preserve">- INCO10 takes the next steps to recover the missing assets at the request of the Region IV State Audit and the </w:t>
      </w:r>
      <w:r w:rsidR="008D52C6">
        <w:rPr>
          <w:rFonts w:ascii="Arial" w:hAnsi="Arial" w:cs="Arial"/>
          <w:sz w:val="20"/>
          <w:szCs w:val="20"/>
        </w:rPr>
        <w:t>Corporation's direction in 2020</w:t>
      </w:r>
    </w:p>
    <w:p w:rsidR="008D52C6" w:rsidRDefault="00BA212B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212B">
        <w:rPr>
          <w:rFonts w:ascii="Arial" w:hAnsi="Arial" w:cs="Arial"/>
          <w:sz w:val="20"/>
          <w:szCs w:val="20"/>
        </w:rPr>
        <w:t xml:space="preserve">e) Extension of the Land Lease Contract for the Company's head office: </w:t>
      </w:r>
    </w:p>
    <w:p w:rsidR="008D52C6" w:rsidRDefault="00BA212B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212B">
        <w:rPr>
          <w:rFonts w:ascii="Arial" w:hAnsi="Arial" w:cs="Arial"/>
          <w:sz w:val="20"/>
          <w:szCs w:val="20"/>
        </w:rPr>
        <w:t xml:space="preserve">Work with departments and branches of Can </w:t>
      </w:r>
      <w:proofErr w:type="spellStart"/>
      <w:r w:rsidRPr="00BA212B">
        <w:rPr>
          <w:rFonts w:ascii="Arial" w:hAnsi="Arial" w:cs="Arial"/>
          <w:sz w:val="20"/>
          <w:szCs w:val="20"/>
        </w:rPr>
        <w:t>Tho</w:t>
      </w:r>
      <w:proofErr w:type="spellEnd"/>
      <w:r w:rsidRPr="00BA212B">
        <w:rPr>
          <w:rFonts w:ascii="Arial" w:hAnsi="Arial" w:cs="Arial"/>
          <w:sz w:val="20"/>
          <w:szCs w:val="20"/>
        </w:rPr>
        <w:t xml:space="preserve"> City to apply for an extension of the </w:t>
      </w:r>
      <w:r w:rsidR="008D52C6" w:rsidRPr="00BA212B">
        <w:rPr>
          <w:rFonts w:ascii="Arial" w:hAnsi="Arial" w:cs="Arial"/>
          <w:sz w:val="20"/>
          <w:szCs w:val="20"/>
        </w:rPr>
        <w:t>50-year</w:t>
      </w:r>
      <w:r w:rsidRPr="00BA212B">
        <w:rPr>
          <w:rFonts w:ascii="Arial" w:hAnsi="Arial" w:cs="Arial"/>
          <w:sz w:val="20"/>
          <w:szCs w:val="20"/>
        </w:rPr>
        <w:t xml:space="preserve"> lease term for land </w:t>
      </w:r>
      <w:r w:rsidR="008D52C6">
        <w:rPr>
          <w:rFonts w:ascii="Arial" w:hAnsi="Arial" w:cs="Arial"/>
          <w:sz w:val="20"/>
          <w:szCs w:val="20"/>
        </w:rPr>
        <w:t xml:space="preserve">lots of 43 and 43A at 3/2 street, Xuan </w:t>
      </w:r>
      <w:proofErr w:type="spellStart"/>
      <w:r w:rsidR="008D52C6">
        <w:rPr>
          <w:rFonts w:ascii="Arial" w:hAnsi="Arial" w:cs="Arial"/>
          <w:sz w:val="20"/>
          <w:szCs w:val="20"/>
        </w:rPr>
        <w:t>Khanh</w:t>
      </w:r>
      <w:proofErr w:type="spellEnd"/>
      <w:r w:rsidR="008D52C6">
        <w:rPr>
          <w:rFonts w:ascii="Arial" w:hAnsi="Arial" w:cs="Arial"/>
          <w:sz w:val="20"/>
          <w:szCs w:val="20"/>
        </w:rPr>
        <w:t xml:space="preserve"> ward</w:t>
      </w:r>
      <w:r w:rsidRPr="00BA212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212B">
        <w:rPr>
          <w:rFonts w:ascii="Arial" w:hAnsi="Arial" w:cs="Arial"/>
          <w:sz w:val="20"/>
          <w:szCs w:val="20"/>
        </w:rPr>
        <w:t>Ninh</w:t>
      </w:r>
      <w:proofErr w:type="spellEnd"/>
      <w:r w:rsidRPr="00BA21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12B">
        <w:rPr>
          <w:rFonts w:ascii="Arial" w:hAnsi="Arial" w:cs="Arial"/>
          <w:sz w:val="20"/>
          <w:szCs w:val="20"/>
        </w:rPr>
        <w:t>Kieu</w:t>
      </w:r>
      <w:proofErr w:type="spellEnd"/>
      <w:r w:rsidRPr="00BA212B">
        <w:rPr>
          <w:rFonts w:ascii="Arial" w:hAnsi="Arial" w:cs="Arial"/>
          <w:sz w:val="20"/>
          <w:szCs w:val="20"/>
        </w:rPr>
        <w:t xml:space="preserve"> district (Land lease contract expires</w:t>
      </w:r>
      <w:r w:rsidR="008D52C6">
        <w:rPr>
          <w:rFonts w:ascii="Arial" w:hAnsi="Arial" w:cs="Arial"/>
          <w:sz w:val="20"/>
          <w:szCs w:val="20"/>
        </w:rPr>
        <w:t xml:space="preserve"> at the end of 2020)</w:t>
      </w:r>
    </w:p>
    <w:p w:rsidR="008D52C6" w:rsidRDefault="00BA212B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212B">
        <w:rPr>
          <w:rFonts w:ascii="Arial" w:hAnsi="Arial" w:cs="Arial"/>
          <w:sz w:val="20"/>
          <w:szCs w:val="20"/>
        </w:rPr>
        <w:t xml:space="preserve">Article 2: Preparation of the Annual General Meeting of Shareholders: </w:t>
      </w:r>
    </w:p>
    <w:p w:rsidR="008D52C6" w:rsidRDefault="00BA212B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212B">
        <w:rPr>
          <w:rFonts w:ascii="Arial" w:hAnsi="Arial" w:cs="Arial"/>
          <w:sz w:val="20"/>
          <w:szCs w:val="20"/>
        </w:rPr>
        <w:t xml:space="preserve">Agreeing to submit to the Corporation </w:t>
      </w:r>
      <w:r w:rsidR="008D52C6">
        <w:rPr>
          <w:rFonts w:ascii="Arial" w:hAnsi="Arial" w:cs="Arial"/>
          <w:sz w:val="20"/>
          <w:szCs w:val="20"/>
        </w:rPr>
        <w:t xml:space="preserve">about </w:t>
      </w:r>
      <w:r w:rsidRPr="00BA212B">
        <w:rPr>
          <w:rFonts w:ascii="Arial" w:hAnsi="Arial" w:cs="Arial"/>
          <w:sz w:val="20"/>
          <w:szCs w:val="20"/>
        </w:rPr>
        <w:t>the organization of the Annual G</w:t>
      </w:r>
      <w:r w:rsidR="008D52C6">
        <w:rPr>
          <w:rFonts w:ascii="Arial" w:hAnsi="Arial" w:cs="Arial"/>
          <w:sz w:val="20"/>
          <w:szCs w:val="20"/>
        </w:rPr>
        <w:t xml:space="preserve">eneral Meeting of Shareholders </w:t>
      </w:r>
      <w:r w:rsidRPr="00BA212B">
        <w:rPr>
          <w:rFonts w:ascii="Arial" w:hAnsi="Arial" w:cs="Arial"/>
          <w:sz w:val="20"/>
          <w:szCs w:val="20"/>
        </w:rPr>
        <w:t xml:space="preserve">2020 with the following contents: </w:t>
      </w:r>
    </w:p>
    <w:p w:rsidR="008D52C6" w:rsidRDefault="008D52C6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BA212B" w:rsidRPr="00BA212B">
        <w:rPr>
          <w:rFonts w:ascii="Arial" w:hAnsi="Arial" w:cs="Arial"/>
          <w:sz w:val="20"/>
          <w:szCs w:val="20"/>
        </w:rPr>
        <w:t xml:space="preserve">Time and venue: </w:t>
      </w:r>
    </w:p>
    <w:p w:rsidR="00BA212B" w:rsidRDefault="00BA212B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212B">
        <w:rPr>
          <w:rFonts w:ascii="Arial" w:hAnsi="Arial" w:cs="Arial"/>
          <w:sz w:val="20"/>
          <w:szCs w:val="20"/>
        </w:rPr>
        <w:t>Estimat</w:t>
      </w:r>
      <w:r w:rsidR="008D52C6">
        <w:rPr>
          <w:rFonts w:ascii="Arial" w:hAnsi="Arial" w:cs="Arial"/>
          <w:sz w:val="20"/>
          <w:szCs w:val="20"/>
        </w:rPr>
        <w:t xml:space="preserve">ed time: Before June 30, 2020 </w:t>
      </w:r>
      <w:r w:rsidRPr="00BA212B">
        <w:rPr>
          <w:rFonts w:ascii="Arial" w:hAnsi="Arial" w:cs="Arial"/>
          <w:sz w:val="20"/>
          <w:szCs w:val="20"/>
        </w:rPr>
        <w:t xml:space="preserve">(The time and venue for the official </w:t>
      </w:r>
      <w:r w:rsidR="008D52C6">
        <w:rPr>
          <w:rFonts w:ascii="Arial" w:hAnsi="Arial" w:cs="Arial"/>
          <w:sz w:val="20"/>
          <w:szCs w:val="20"/>
        </w:rPr>
        <w:t>annual</w:t>
      </w:r>
      <w:r w:rsidRPr="00BA212B">
        <w:rPr>
          <w:rFonts w:ascii="Arial" w:hAnsi="Arial" w:cs="Arial"/>
          <w:sz w:val="20"/>
          <w:szCs w:val="20"/>
        </w:rPr>
        <w:t xml:space="preserve"> General Meeting of Shareholders will be decided by the Company's Board of Directors based on the actual situation but </w:t>
      </w:r>
      <w:r w:rsidR="008D52C6">
        <w:rPr>
          <w:rFonts w:ascii="Arial" w:hAnsi="Arial" w:cs="Arial"/>
          <w:sz w:val="20"/>
          <w:szCs w:val="20"/>
        </w:rPr>
        <w:t xml:space="preserve">it </w:t>
      </w:r>
      <w:r w:rsidRPr="00BA212B">
        <w:rPr>
          <w:rFonts w:ascii="Arial" w:hAnsi="Arial" w:cs="Arial"/>
          <w:sz w:val="20"/>
          <w:szCs w:val="20"/>
        </w:rPr>
        <w:t>must ensure the implementation of the Prime Minister's Directive and</w:t>
      </w:r>
      <w:r w:rsidR="008D52C6">
        <w:rPr>
          <w:rFonts w:ascii="Arial" w:hAnsi="Arial" w:cs="Arial"/>
          <w:sz w:val="20"/>
          <w:szCs w:val="20"/>
        </w:rPr>
        <w:t xml:space="preserve"> recommendations, instructions</w:t>
      </w:r>
      <w:r w:rsidRPr="00BA212B">
        <w:rPr>
          <w:rFonts w:ascii="Arial" w:hAnsi="Arial" w:cs="Arial"/>
          <w:sz w:val="20"/>
          <w:szCs w:val="20"/>
        </w:rPr>
        <w:t xml:space="preserve"> of the Ministry of Health and regulations of relevant agencies, branches and localities on the prevention of COVID-</w:t>
      </w:r>
      <w:r w:rsidR="008D52C6">
        <w:rPr>
          <w:rFonts w:ascii="Arial" w:hAnsi="Arial" w:cs="Arial"/>
          <w:sz w:val="20"/>
          <w:szCs w:val="20"/>
        </w:rPr>
        <w:t>19)</w:t>
      </w:r>
    </w:p>
    <w:p w:rsidR="008D52C6" w:rsidRDefault="008D52C6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8D52C6">
        <w:rPr>
          <w:rFonts w:ascii="Arial" w:hAnsi="Arial" w:cs="Arial"/>
          <w:sz w:val="20"/>
          <w:szCs w:val="20"/>
        </w:rPr>
        <w:t xml:space="preserve">Main contents of the Meeting: </w:t>
      </w:r>
    </w:p>
    <w:p w:rsidR="008D52C6" w:rsidRDefault="008D52C6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2C6">
        <w:rPr>
          <w:rFonts w:ascii="Arial" w:hAnsi="Arial" w:cs="Arial"/>
          <w:sz w:val="20"/>
          <w:szCs w:val="20"/>
        </w:rPr>
        <w:t xml:space="preserve">- Report of the </w:t>
      </w:r>
      <w:r>
        <w:rPr>
          <w:rFonts w:ascii="Arial" w:hAnsi="Arial" w:cs="Arial"/>
          <w:sz w:val="20"/>
          <w:szCs w:val="20"/>
        </w:rPr>
        <w:t>Management Board</w:t>
      </w:r>
      <w:r w:rsidRPr="008D52C6">
        <w:rPr>
          <w:rFonts w:ascii="Arial" w:hAnsi="Arial" w:cs="Arial"/>
          <w:sz w:val="20"/>
          <w:szCs w:val="20"/>
        </w:rPr>
        <w:t xml:space="preserve"> on the business results in 2019 and the Business plan in 2020;  </w:t>
      </w:r>
    </w:p>
    <w:p w:rsidR="008D52C6" w:rsidRDefault="008D52C6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2C6">
        <w:rPr>
          <w:rFonts w:ascii="Arial" w:hAnsi="Arial" w:cs="Arial"/>
          <w:sz w:val="20"/>
          <w:szCs w:val="20"/>
        </w:rPr>
        <w:lastRenderedPageBreak/>
        <w:t>- Report on the activities o</w:t>
      </w:r>
      <w:r>
        <w:rPr>
          <w:rFonts w:ascii="Arial" w:hAnsi="Arial" w:cs="Arial"/>
          <w:sz w:val="20"/>
          <w:szCs w:val="20"/>
        </w:rPr>
        <w:t>f the Board of Directors in 2019</w:t>
      </w:r>
      <w:r w:rsidRPr="008D52C6">
        <w:rPr>
          <w:rFonts w:ascii="Arial" w:hAnsi="Arial" w:cs="Arial"/>
          <w:sz w:val="20"/>
          <w:szCs w:val="20"/>
        </w:rPr>
        <w:t xml:space="preserve"> and the operation plan in 2020;  </w:t>
      </w:r>
    </w:p>
    <w:p w:rsidR="008D52C6" w:rsidRDefault="008D52C6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2C6">
        <w:rPr>
          <w:rFonts w:ascii="Arial" w:hAnsi="Arial" w:cs="Arial"/>
          <w:sz w:val="20"/>
          <w:szCs w:val="20"/>
        </w:rPr>
        <w:t xml:space="preserve">- Operation Report of the Supervisory Board in 2019;  </w:t>
      </w:r>
    </w:p>
    <w:p w:rsidR="008D52C6" w:rsidRDefault="008D52C6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2C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Approve statements</w:t>
      </w:r>
      <w:r w:rsidRPr="008D52C6">
        <w:rPr>
          <w:rFonts w:ascii="Arial" w:hAnsi="Arial" w:cs="Arial"/>
          <w:sz w:val="20"/>
          <w:szCs w:val="20"/>
        </w:rPr>
        <w:t xml:space="preserve">: </w:t>
      </w:r>
      <w:r w:rsidRPr="008D52C6">
        <w:rPr>
          <w:rFonts w:ascii="Arial" w:hAnsi="Arial" w:cs="Arial"/>
          <w:sz w:val="20"/>
          <w:szCs w:val="20"/>
        </w:rPr>
        <w:t xml:space="preserve">audited </w:t>
      </w:r>
      <w:r w:rsidRPr="008D52C6">
        <w:rPr>
          <w:rFonts w:ascii="Arial" w:hAnsi="Arial" w:cs="Arial"/>
          <w:sz w:val="20"/>
          <w:szCs w:val="20"/>
        </w:rPr>
        <w:t xml:space="preserve">2019 </w:t>
      </w:r>
      <w:r>
        <w:rPr>
          <w:rFonts w:ascii="Arial" w:hAnsi="Arial" w:cs="Arial"/>
          <w:sz w:val="20"/>
          <w:szCs w:val="20"/>
        </w:rPr>
        <w:t xml:space="preserve">financial statements; remuneration for the </w:t>
      </w:r>
      <w:r w:rsidRPr="008D52C6">
        <w:rPr>
          <w:rFonts w:ascii="Arial" w:hAnsi="Arial" w:cs="Arial"/>
          <w:sz w:val="20"/>
          <w:szCs w:val="20"/>
        </w:rPr>
        <w:t xml:space="preserve">Board of Directors, </w:t>
      </w:r>
      <w:r>
        <w:rPr>
          <w:rFonts w:ascii="Arial" w:hAnsi="Arial" w:cs="Arial"/>
          <w:sz w:val="20"/>
          <w:szCs w:val="20"/>
        </w:rPr>
        <w:t xml:space="preserve">Supervisory Board in 2019, plan for 2020; </w:t>
      </w:r>
      <w:r w:rsidRPr="008D52C6">
        <w:rPr>
          <w:rFonts w:ascii="Arial" w:hAnsi="Arial" w:cs="Arial"/>
          <w:sz w:val="20"/>
          <w:szCs w:val="20"/>
        </w:rPr>
        <w:t>Selecting</w:t>
      </w:r>
      <w:r>
        <w:rPr>
          <w:rFonts w:ascii="Arial" w:hAnsi="Arial" w:cs="Arial"/>
          <w:sz w:val="20"/>
          <w:szCs w:val="20"/>
        </w:rPr>
        <w:t xml:space="preserve"> an</w:t>
      </w:r>
      <w:r w:rsidRPr="008D52C6">
        <w:rPr>
          <w:rFonts w:ascii="Arial" w:hAnsi="Arial" w:cs="Arial"/>
          <w:sz w:val="20"/>
          <w:szCs w:val="20"/>
        </w:rPr>
        <w:t xml:space="preserve"> </w:t>
      </w:r>
      <w:r w:rsidRPr="008D52C6">
        <w:rPr>
          <w:rFonts w:ascii="Arial" w:hAnsi="Arial" w:cs="Arial"/>
          <w:sz w:val="20"/>
          <w:szCs w:val="20"/>
        </w:rPr>
        <w:t xml:space="preserve">auditing unit </w:t>
      </w:r>
      <w:r>
        <w:rPr>
          <w:rFonts w:ascii="Arial" w:hAnsi="Arial" w:cs="Arial"/>
          <w:sz w:val="20"/>
          <w:szCs w:val="20"/>
        </w:rPr>
        <w:t>for the financial statement</w:t>
      </w:r>
      <w:r w:rsidRPr="008D52C6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2020; a</w:t>
      </w:r>
      <w:r w:rsidRPr="008D52C6">
        <w:rPr>
          <w:rFonts w:ascii="Arial" w:hAnsi="Arial" w:cs="Arial"/>
          <w:sz w:val="20"/>
          <w:szCs w:val="20"/>
        </w:rPr>
        <w:t>mendments and supple</w:t>
      </w:r>
      <w:r>
        <w:rPr>
          <w:rFonts w:ascii="Arial" w:hAnsi="Arial" w:cs="Arial"/>
          <w:sz w:val="20"/>
          <w:szCs w:val="20"/>
        </w:rPr>
        <w:t>ments to the Company's charter</w:t>
      </w:r>
    </w:p>
    <w:p w:rsidR="008D52C6" w:rsidRDefault="008D52C6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2C6">
        <w:rPr>
          <w:rFonts w:ascii="Arial" w:hAnsi="Arial" w:cs="Arial"/>
          <w:sz w:val="20"/>
          <w:szCs w:val="20"/>
        </w:rPr>
        <w:t xml:space="preserve">Article 3: </w:t>
      </w:r>
    </w:p>
    <w:p w:rsidR="008D52C6" w:rsidRDefault="008D52C6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 w:rsidRPr="008D52C6">
        <w:rPr>
          <w:rFonts w:ascii="Arial" w:hAnsi="Arial" w:cs="Arial"/>
          <w:sz w:val="20"/>
          <w:szCs w:val="20"/>
        </w:rPr>
        <w:t xml:space="preserve"> The preparation of fin</w:t>
      </w:r>
      <w:r>
        <w:rPr>
          <w:rFonts w:ascii="Arial" w:hAnsi="Arial" w:cs="Arial"/>
          <w:sz w:val="20"/>
          <w:szCs w:val="20"/>
        </w:rPr>
        <w:t>ancial statement of</w:t>
      </w:r>
      <w:r w:rsidRPr="008D5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 w:rsidRPr="008D52C6">
        <w:rPr>
          <w:rFonts w:ascii="Arial" w:hAnsi="Arial" w:cs="Arial"/>
          <w:sz w:val="20"/>
          <w:szCs w:val="20"/>
        </w:rPr>
        <w:t xml:space="preserve">uarter 1/2020: </w:t>
      </w:r>
    </w:p>
    <w:p w:rsidR="008D52C6" w:rsidRDefault="008D52C6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Assign the</w:t>
      </w:r>
      <w:r w:rsidRPr="008D52C6">
        <w:rPr>
          <w:rFonts w:ascii="Arial" w:hAnsi="Arial" w:cs="Arial"/>
          <w:sz w:val="20"/>
          <w:szCs w:val="20"/>
        </w:rPr>
        <w:t xml:space="preserve"> Director of the Company to direct the preparation of financial statement</w:t>
      </w:r>
      <w:r>
        <w:rPr>
          <w:rFonts w:ascii="Arial" w:hAnsi="Arial" w:cs="Arial"/>
          <w:sz w:val="20"/>
          <w:szCs w:val="20"/>
        </w:rPr>
        <w:t xml:space="preserve"> of</w:t>
      </w:r>
      <w:r w:rsidRPr="008D52C6">
        <w:rPr>
          <w:rFonts w:ascii="Arial" w:hAnsi="Arial" w:cs="Arial"/>
          <w:sz w:val="20"/>
          <w:szCs w:val="20"/>
        </w:rPr>
        <w:t xml:space="preserve"> the 1st quarter of 2020 to ensure </w:t>
      </w:r>
      <w:r>
        <w:rPr>
          <w:rFonts w:ascii="Arial" w:hAnsi="Arial" w:cs="Arial"/>
          <w:sz w:val="20"/>
          <w:szCs w:val="20"/>
        </w:rPr>
        <w:t>the</w:t>
      </w:r>
      <w:r w:rsidRPr="008D52C6">
        <w:rPr>
          <w:rFonts w:ascii="Arial" w:hAnsi="Arial" w:cs="Arial"/>
          <w:sz w:val="20"/>
          <w:szCs w:val="20"/>
        </w:rPr>
        <w:t xml:space="preserve"> prescribed</w:t>
      </w:r>
      <w:r>
        <w:rPr>
          <w:rFonts w:ascii="Arial" w:hAnsi="Arial" w:cs="Arial"/>
          <w:sz w:val="20"/>
          <w:szCs w:val="20"/>
        </w:rPr>
        <w:t xml:space="preserve"> time,</w:t>
      </w:r>
      <w:r w:rsidRPr="008D52C6">
        <w:rPr>
          <w:rFonts w:ascii="Arial" w:hAnsi="Arial" w:cs="Arial"/>
          <w:sz w:val="20"/>
          <w:szCs w:val="20"/>
        </w:rPr>
        <w:t xml:space="preserve"> request</w:t>
      </w:r>
      <w:r>
        <w:rPr>
          <w:rFonts w:ascii="Arial" w:hAnsi="Arial" w:cs="Arial"/>
          <w:sz w:val="20"/>
          <w:szCs w:val="20"/>
        </w:rPr>
        <w:t>ing</w:t>
      </w:r>
      <w:r w:rsidRPr="008D5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enter in the account</w:t>
      </w:r>
      <w:r w:rsidRPr="008D52C6">
        <w:rPr>
          <w:rFonts w:ascii="Arial" w:hAnsi="Arial" w:cs="Arial"/>
          <w:sz w:val="20"/>
          <w:szCs w:val="20"/>
        </w:rPr>
        <w:t xml:space="preserve"> of </w:t>
      </w:r>
      <w:r w:rsidRPr="008D52C6">
        <w:rPr>
          <w:rFonts w:ascii="Arial" w:hAnsi="Arial" w:cs="Arial"/>
          <w:sz w:val="20"/>
          <w:szCs w:val="20"/>
        </w:rPr>
        <w:t xml:space="preserve">full </w:t>
      </w:r>
      <w:r w:rsidRPr="008D52C6">
        <w:rPr>
          <w:rFonts w:ascii="Arial" w:hAnsi="Arial" w:cs="Arial"/>
          <w:sz w:val="20"/>
          <w:szCs w:val="20"/>
        </w:rPr>
        <w:t xml:space="preserve">expenses </w:t>
      </w:r>
    </w:p>
    <w:p w:rsidR="005B7238" w:rsidRDefault="008D52C6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2C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</w:t>
      </w:r>
      <w:r w:rsidRPr="008D52C6">
        <w:rPr>
          <w:rFonts w:ascii="Arial" w:hAnsi="Arial" w:cs="Arial"/>
          <w:sz w:val="20"/>
          <w:szCs w:val="20"/>
        </w:rPr>
        <w:t xml:space="preserve"> The handling</w:t>
      </w:r>
      <w:r w:rsidR="005B7238">
        <w:rPr>
          <w:rFonts w:ascii="Arial" w:hAnsi="Arial" w:cs="Arial"/>
          <w:sz w:val="20"/>
          <w:szCs w:val="20"/>
        </w:rPr>
        <w:t xml:space="preserve"> of inventories at 0:</w:t>
      </w:r>
      <w:r w:rsidRPr="008D52C6">
        <w:rPr>
          <w:rFonts w:ascii="Arial" w:hAnsi="Arial" w:cs="Arial"/>
          <w:sz w:val="20"/>
          <w:szCs w:val="20"/>
        </w:rPr>
        <w:t xml:space="preserve">00 on January 1, 2020: </w:t>
      </w:r>
    </w:p>
    <w:p w:rsidR="005B7238" w:rsidRDefault="008D52C6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2C6">
        <w:rPr>
          <w:rFonts w:ascii="Arial" w:hAnsi="Arial" w:cs="Arial"/>
          <w:sz w:val="20"/>
          <w:szCs w:val="20"/>
        </w:rPr>
        <w:t xml:space="preserve">- </w:t>
      </w:r>
      <w:r w:rsidR="005B7238">
        <w:rPr>
          <w:rFonts w:ascii="Arial" w:hAnsi="Arial" w:cs="Arial"/>
          <w:sz w:val="20"/>
          <w:szCs w:val="20"/>
        </w:rPr>
        <w:t>Approve</w:t>
      </w:r>
      <w:r w:rsidRPr="008D52C6">
        <w:rPr>
          <w:rFonts w:ascii="Arial" w:hAnsi="Arial" w:cs="Arial"/>
          <w:sz w:val="20"/>
          <w:szCs w:val="20"/>
        </w:rPr>
        <w:t xml:space="preserve"> the liquidation of office containers that </w:t>
      </w:r>
      <w:r w:rsidR="005B7238">
        <w:rPr>
          <w:rFonts w:ascii="Arial" w:hAnsi="Arial" w:cs="Arial"/>
          <w:sz w:val="20"/>
          <w:szCs w:val="20"/>
        </w:rPr>
        <w:t>are</w:t>
      </w:r>
      <w:r w:rsidRPr="008D52C6">
        <w:rPr>
          <w:rFonts w:ascii="Arial" w:hAnsi="Arial" w:cs="Arial"/>
          <w:sz w:val="20"/>
          <w:szCs w:val="20"/>
        </w:rPr>
        <w:t xml:space="preserve"> fully depreciated,</w:t>
      </w:r>
      <w:r w:rsidR="005B7238">
        <w:rPr>
          <w:rFonts w:ascii="Arial" w:hAnsi="Arial" w:cs="Arial"/>
          <w:sz w:val="20"/>
          <w:szCs w:val="20"/>
        </w:rPr>
        <w:t xml:space="preserve"> damaged, rotten and unusable; </w:t>
      </w:r>
      <w:r w:rsidRPr="008D52C6">
        <w:rPr>
          <w:rFonts w:ascii="Arial" w:hAnsi="Arial" w:cs="Arial"/>
          <w:sz w:val="20"/>
          <w:szCs w:val="20"/>
        </w:rPr>
        <w:t xml:space="preserve">Implementation time </w:t>
      </w:r>
      <w:r w:rsidR="005B7238">
        <w:rPr>
          <w:rFonts w:ascii="Arial" w:hAnsi="Arial" w:cs="Arial"/>
          <w:sz w:val="20"/>
          <w:szCs w:val="20"/>
        </w:rPr>
        <w:t>in Q.1/ 2020</w:t>
      </w:r>
    </w:p>
    <w:p w:rsidR="005B7238" w:rsidRDefault="008D52C6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2C6">
        <w:rPr>
          <w:rFonts w:ascii="Arial" w:hAnsi="Arial" w:cs="Arial"/>
          <w:sz w:val="20"/>
          <w:szCs w:val="20"/>
        </w:rPr>
        <w:t xml:space="preserve">+ Cost: </w:t>
      </w:r>
      <w:r w:rsidR="005B7238" w:rsidRPr="008D52C6">
        <w:rPr>
          <w:rFonts w:ascii="Arial" w:hAnsi="Arial" w:cs="Arial"/>
          <w:sz w:val="20"/>
          <w:szCs w:val="20"/>
        </w:rPr>
        <w:t xml:space="preserve">VND </w:t>
      </w:r>
      <w:r w:rsidRPr="008D52C6">
        <w:rPr>
          <w:rFonts w:ascii="Arial" w:hAnsi="Arial" w:cs="Arial"/>
          <w:sz w:val="20"/>
          <w:szCs w:val="20"/>
        </w:rPr>
        <w:t>31</w:t>
      </w:r>
      <w:r w:rsidR="005B7238">
        <w:rPr>
          <w:rFonts w:ascii="Arial" w:hAnsi="Arial" w:cs="Arial"/>
          <w:sz w:val="20"/>
          <w:szCs w:val="20"/>
        </w:rPr>
        <w:t>,</w:t>
      </w:r>
      <w:r w:rsidRPr="008D52C6">
        <w:rPr>
          <w:rFonts w:ascii="Arial" w:hAnsi="Arial" w:cs="Arial"/>
          <w:sz w:val="20"/>
          <w:szCs w:val="20"/>
        </w:rPr>
        <w:t>818</w:t>
      </w:r>
      <w:r w:rsidR="005B7238">
        <w:rPr>
          <w:rFonts w:ascii="Arial" w:hAnsi="Arial" w:cs="Arial"/>
          <w:sz w:val="20"/>
          <w:szCs w:val="20"/>
        </w:rPr>
        <w:t>,</w:t>
      </w:r>
      <w:r w:rsidRPr="008D52C6">
        <w:rPr>
          <w:rFonts w:ascii="Arial" w:hAnsi="Arial" w:cs="Arial"/>
          <w:sz w:val="20"/>
          <w:szCs w:val="20"/>
        </w:rPr>
        <w:t xml:space="preserve">182 </w:t>
      </w:r>
    </w:p>
    <w:p w:rsidR="005B7238" w:rsidRDefault="005B7238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Depreciation</w:t>
      </w:r>
      <w:r w:rsidR="008D52C6" w:rsidRPr="008D52C6">
        <w:rPr>
          <w:rFonts w:ascii="Arial" w:hAnsi="Arial" w:cs="Arial"/>
          <w:sz w:val="20"/>
          <w:szCs w:val="20"/>
        </w:rPr>
        <w:t xml:space="preserve">: </w:t>
      </w:r>
      <w:r w:rsidRPr="008D52C6">
        <w:rPr>
          <w:rFonts w:ascii="Arial" w:hAnsi="Arial" w:cs="Arial"/>
          <w:sz w:val="20"/>
          <w:szCs w:val="20"/>
        </w:rPr>
        <w:t>VND</w:t>
      </w:r>
      <w:r w:rsidRPr="008D52C6">
        <w:rPr>
          <w:rFonts w:ascii="Arial" w:hAnsi="Arial" w:cs="Arial"/>
          <w:sz w:val="20"/>
          <w:szCs w:val="20"/>
        </w:rPr>
        <w:t xml:space="preserve"> </w:t>
      </w:r>
      <w:r w:rsidR="008D52C6" w:rsidRPr="008D52C6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,</w:t>
      </w:r>
      <w:r w:rsidR="008D52C6" w:rsidRPr="008D52C6">
        <w:rPr>
          <w:rFonts w:ascii="Arial" w:hAnsi="Arial" w:cs="Arial"/>
          <w:sz w:val="20"/>
          <w:szCs w:val="20"/>
        </w:rPr>
        <w:t>818</w:t>
      </w:r>
      <w:r>
        <w:rPr>
          <w:rFonts w:ascii="Arial" w:hAnsi="Arial" w:cs="Arial"/>
          <w:sz w:val="20"/>
          <w:szCs w:val="20"/>
        </w:rPr>
        <w:t>,</w:t>
      </w:r>
      <w:r w:rsidR="008D52C6" w:rsidRPr="008D52C6">
        <w:rPr>
          <w:rFonts w:ascii="Arial" w:hAnsi="Arial" w:cs="Arial"/>
          <w:sz w:val="20"/>
          <w:szCs w:val="20"/>
        </w:rPr>
        <w:t xml:space="preserve">182 </w:t>
      </w:r>
    </w:p>
    <w:p w:rsidR="005B7238" w:rsidRDefault="008D52C6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2C6">
        <w:rPr>
          <w:rFonts w:ascii="Arial" w:hAnsi="Arial" w:cs="Arial"/>
          <w:sz w:val="20"/>
          <w:szCs w:val="20"/>
        </w:rPr>
        <w:t xml:space="preserve">+ Remaining value: VND 0 </w:t>
      </w:r>
    </w:p>
    <w:p w:rsidR="005B7238" w:rsidRDefault="008D52C6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2C6">
        <w:rPr>
          <w:rFonts w:ascii="Arial" w:hAnsi="Arial" w:cs="Arial"/>
          <w:sz w:val="20"/>
          <w:szCs w:val="20"/>
        </w:rPr>
        <w:t>- Assigning</w:t>
      </w:r>
      <w:r w:rsidR="005B7238">
        <w:rPr>
          <w:rFonts w:ascii="Arial" w:hAnsi="Arial" w:cs="Arial"/>
          <w:sz w:val="20"/>
          <w:szCs w:val="20"/>
        </w:rPr>
        <w:t xml:space="preserve"> the Director of the Company and</w:t>
      </w:r>
      <w:r w:rsidRPr="008D52C6">
        <w:rPr>
          <w:rFonts w:ascii="Arial" w:hAnsi="Arial" w:cs="Arial"/>
          <w:sz w:val="20"/>
          <w:szCs w:val="20"/>
        </w:rPr>
        <w:t xml:space="preserve"> the Invent</w:t>
      </w:r>
      <w:r w:rsidR="005B7238">
        <w:rPr>
          <w:rFonts w:ascii="Arial" w:hAnsi="Arial" w:cs="Arial"/>
          <w:sz w:val="20"/>
          <w:szCs w:val="20"/>
        </w:rPr>
        <w:t>ory Council based on documents to handle the other income</w:t>
      </w:r>
      <w:r w:rsidRPr="008D52C6">
        <w:rPr>
          <w:rFonts w:ascii="Arial" w:hAnsi="Arial" w:cs="Arial"/>
          <w:sz w:val="20"/>
          <w:szCs w:val="20"/>
        </w:rPr>
        <w:t xml:space="preserve"> for payable debts determined not to be </w:t>
      </w:r>
      <w:r w:rsidR="005B7238">
        <w:rPr>
          <w:rFonts w:ascii="Arial" w:hAnsi="Arial" w:cs="Arial"/>
          <w:sz w:val="20"/>
          <w:szCs w:val="20"/>
        </w:rPr>
        <w:t>returned</w:t>
      </w:r>
      <w:r w:rsidRPr="008D52C6">
        <w:rPr>
          <w:rFonts w:ascii="Arial" w:hAnsi="Arial" w:cs="Arial"/>
          <w:sz w:val="20"/>
          <w:szCs w:val="20"/>
        </w:rPr>
        <w:t xml:space="preserve"> in </w:t>
      </w:r>
      <w:r w:rsidR="005B7238">
        <w:rPr>
          <w:rFonts w:ascii="Arial" w:hAnsi="Arial" w:cs="Arial"/>
          <w:sz w:val="20"/>
          <w:szCs w:val="20"/>
        </w:rPr>
        <w:t>Statement No. 299/</w:t>
      </w:r>
      <w:proofErr w:type="spellStart"/>
      <w:r w:rsidRPr="008D52C6">
        <w:rPr>
          <w:rFonts w:ascii="Arial" w:hAnsi="Arial" w:cs="Arial"/>
          <w:sz w:val="20"/>
          <w:szCs w:val="20"/>
        </w:rPr>
        <w:t>TTr</w:t>
      </w:r>
      <w:proofErr w:type="spellEnd"/>
      <w:r w:rsidRPr="008D52C6">
        <w:rPr>
          <w:rFonts w:ascii="Arial" w:hAnsi="Arial" w:cs="Arial"/>
          <w:sz w:val="20"/>
          <w:szCs w:val="20"/>
        </w:rPr>
        <w:t xml:space="preserve"> - CT dated December 31, 2020 </w:t>
      </w:r>
      <w:r w:rsidR="005B7238">
        <w:rPr>
          <w:rFonts w:ascii="Arial" w:hAnsi="Arial" w:cs="Arial"/>
          <w:sz w:val="20"/>
          <w:szCs w:val="20"/>
        </w:rPr>
        <w:t>in</w:t>
      </w:r>
      <w:r w:rsidRPr="008D52C6">
        <w:rPr>
          <w:rFonts w:ascii="Arial" w:hAnsi="Arial" w:cs="Arial"/>
          <w:sz w:val="20"/>
          <w:szCs w:val="20"/>
        </w:rPr>
        <w:t xml:space="preserve"> compl</w:t>
      </w:r>
      <w:r w:rsidR="005B7238">
        <w:rPr>
          <w:rFonts w:ascii="Arial" w:hAnsi="Arial" w:cs="Arial"/>
          <w:sz w:val="20"/>
          <w:szCs w:val="20"/>
        </w:rPr>
        <w:t>iance with regulations</w:t>
      </w:r>
    </w:p>
    <w:p w:rsidR="005B7238" w:rsidRDefault="005B7238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 Approving the financial Plan and s</w:t>
      </w:r>
      <w:r w:rsidR="008D52C6" w:rsidRPr="008D52C6">
        <w:rPr>
          <w:rFonts w:ascii="Arial" w:hAnsi="Arial" w:cs="Arial"/>
          <w:sz w:val="20"/>
          <w:szCs w:val="20"/>
        </w:rPr>
        <w:t>alary Fund</w:t>
      </w:r>
      <w:r>
        <w:rPr>
          <w:rFonts w:ascii="Arial" w:hAnsi="Arial" w:cs="Arial"/>
          <w:sz w:val="20"/>
          <w:szCs w:val="20"/>
        </w:rPr>
        <w:t xml:space="preserve"> for</w:t>
      </w:r>
      <w:r w:rsidR="008D52C6" w:rsidRPr="008D5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8D52C6" w:rsidRPr="008D52C6">
        <w:rPr>
          <w:rFonts w:ascii="Arial" w:hAnsi="Arial" w:cs="Arial"/>
          <w:sz w:val="20"/>
          <w:szCs w:val="20"/>
        </w:rPr>
        <w:t xml:space="preserve">20: </w:t>
      </w:r>
    </w:p>
    <w:p w:rsidR="005B7238" w:rsidRDefault="005B7238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the financial Plan and s</w:t>
      </w:r>
      <w:r w:rsidR="008D52C6" w:rsidRPr="008D52C6">
        <w:rPr>
          <w:rFonts w:ascii="Arial" w:hAnsi="Arial" w:cs="Arial"/>
          <w:sz w:val="20"/>
          <w:szCs w:val="20"/>
        </w:rPr>
        <w:t xml:space="preserve">alary Fund </w:t>
      </w:r>
      <w:r>
        <w:rPr>
          <w:rFonts w:ascii="Arial" w:hAnsi="Arial" w:cs="Arial"/>
          <w:sz w:val="20"/>
          <w:szCs w:val="20"/>
        </w:rPr>
        <w:t>for 2020 to submit</w:t>
      </w:r>
      <w:r w:rsidR="008D52C6" w:rsidRPr="008D52C6">
        <w:rPr>
          <w:rFonts w:ascii="Arial" w:hAnsi="Arial" w:cs="Arial"/>
          <w:sz w:val="20"/>
          <w:szCs w:val="20"/>
        </w:rPr>
        <w:t xml:space="preserve"> the Board of Directors for a</w:t>
      </w:r>
      <w:r>
        <w:rPr>
          <w:rFonts w:ascii="Arial" w:hAnsi="Arial" w:cs="Arial"/>
          <w:sz w:val="20"/>
          <w:szCs w:val="20"/>
        </w:rPr>
        <w:t>pproval before April 25, 2020</w:t>
      </w:r>
    </w:p>
    <w:p w:rsidR="005B7238" w:rsidRDefault="008D52C6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2C6">
        <w:rPr>
          <w:rFonts w:ascii="Arial" w:hAnsi="Arial" w:cs="Arial"/>
          <w:sz w:val="20"/>
          <w:szCs w:val="20"/>
        </w:rPr>
        <w:t xml:space="preserve">Article 4: Implementation provisions </w:t>
      </w:r>
    </w:p>
    <w:p w:rsidR="008D52C6" w:rsidRPr="00BA212B" w:rsidRDefault="008D52C6" w:rsidP="00BA2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2C6">
        <w:rPr>
          <w:rFonts w:ascii="Arial" w:hAnsi="Arial" w:cs="Arial"/>
          <w:sz w:val="20"/>
          <w:szCs w:val="20"/>
        </w:rPr>
        <w:t xml:space="preserve">This decision takes effect from the date of signing.  Members of the Board of Directors, the Director of the </w:t>
      </w:r>
      <w:bookmarkStart w:id="0" w:name="_GoBack"/>
      <w:bookmarkEnd w:id="0"/>
      <w:r w:rsidRPr="008D52C6">
        <w:rPr>
          <w:rFonts w:ascii="Arial" w:hAnsi="Arial" w:cs="Arial"/>
          <w:sz w:val="20"/>
          <w:szCs w:val="20"/>
        </w:rPr>
        <w:t>Company and the departments, units attached to the Company are responsible for implementing this Resolution</w:t>
      </w:r>
    </w:p>
    <w:sectPr w:rsidR="008D52C6" w:rsidRPr="00BA2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10C7"/>
    <w:rsid w:val="000266C2"/>
    <w:rsid w:val="00050E3D"/>
    <w:rsid w:val="000603A9"/>
    <w:rsid w:val="00082850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72049"/>
    <w:rsid w:val="002B42CC"/>
    <w:rsid w:val="002B6ABD"/>
    <w:rsid w:val="002D481A"/>
    <w:rsid w:val="002D4939"/>
    <w:rsid w:val="002D53EE"/>
    <w:rsid w:val="002E465F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5B7238"/>
    <w:rsid w:val="006000D8"/>
    <w:rsid w:val="0063035E"/>
    <w:rsid w:val="006374A1"/>
    <w:rsid w:val="00695ACD"/>
    <w:rsid w:val="006B04E8"/>
    <w:rsid w:val="006B36E8"/>
    <w:rsid w:val="006D3409"/>
    <w:rsid w:val="006E15A6"/>
    <w:rsid w:val="006E5E99"/>
    <w:rsid w:val="00732DC3"/>
    <w:rsid w:val="00744587"/>
    <w:rsid w:val="00745D9A"/>
    <w:rsid w:val="00750F3E"/>
    <w:rsid w:val="0077456B"/>
    <w:rsid w:val="00785F13"/>
    <w:rsid w:val="007A072F"/>
    <w:rsid w:val="007A1FCC"/>
    <w:rsid w:val="007B07E7"/>
    <w:rsid w:val="007B67AF"/>
    <w:rsid w:val="007C13C6"/>
    <w:rsid w:val="008134FC"/>
    <w:rsid w:val="00837771"/>
    <w:rsid w:val="0084142F"/>
    <w:rsid w:val="0084485C"/>
    <w:rsid w:val="00853748"/>
    <w:rsid w:val="008544C2"/>
    <w:rsid w:val="00885362"/>
    <w:rsid w:val="008C7A42"/>
    <w:rsid w:val="008D52C6"/>
    <w:rsid w:val="00937D79"/>
    <w:rsid w:val="00981275"/>
    <w:rsid w:val="009B49AC"/>
    <w:rsid w:val="009C1BB8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0C36"/>
    <w:rsid w:val="00AC4F64"/>
    <w:rsid w:val="00AC6BEF"/>
    <w:rsid w:val="00AF67BE"/>
    <w:rsid w:val="00B04704"/>
    <w:rsid w:val="00B21CC3"/>
    <w:rsid w:val="00B64E6D"/>
    <w:rsid w:val="00B70D7E"/>
    <w:rsid w:val="00BA118E"/>
    <w:rsid w:val="00BA1F12"/>
    <w:rsid w:val="00BA212B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EE44E0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98F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153</cp:revision>
  <dcterms:created xsi:type="dcterms:W3CDTF">2019-10-16T10:03:00Z</dcterms:created>
  <dcterms:modified xsi:type="dcterms:W3CDTF">2020-04-20T15:42:00Z</dcterms:modified>
</cp:coreProperties>
</file>